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92B88" w:rsidRPr="00A92B8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92B88" w:rsidRPr="00A92B88">
              <w:trPr>
                <w:trHeight w:val="370"/>
                <w:tblCellSpacing w:w="0" w:type="dxa"/>
              </w:trPr>
              <w:tc>
                <w:tcPr>
                  <w:tcW w:w="0" w:type="auto"/>
                  <w:vAlign w:val="center"/>
                  <w:hideMark/>
                </w:tcPr>
                <w:p w:rsidR="00A92B88" w:rsidRPr="00A92B88" w:rsidRDefault="00A92B88" w:rsidP="00A92B88">
                  <w:pPr>
                    <w:widowControl/>
                    <w:spacing w:before="300" w:after="225" w:line="432" w:lineRule="auto"/>
                    <w:jc w:val="center"/>
                    <w:rPr>
                      <w:rFonts w:ascii="Arial" w:eastAsia="宋体" w:hAnsi="Arial" w:cs="Arial"/>
                      <w:b/>
                      <w:bCs/>
                      <w:color w:val="185895"/>
                      <w:kern w:val="0"/>
                      <w:sz w:val="36"/>
                      <w:szCs w:val="36"/>
                    </w:rPr>
                  </w:pPr>
                  <w:r w:rsidRPr="00A92B88">
                    <w:rPr>
                      <w:rFonts w:ascii="Arial" w:eastAsia="宋体" w:hAnsi="Arial" w:cs="Arial"/>
                      <w:b/>
                      <w:bCs/>
                      <w:color w:val="185895"/>
                      <w:kern w:val="0"/>
                      <w:sz w:val="36"/>
                      <w:szCs w:val="36"/>
                    </w:rPr>
                    <w:t>落实《若干意见》典型案例之四</w:t>
                  </w:r>
                  <w:r w:rsidRPr="00A92B88">
                    <w:rPr>
                      <w:rFonts w:ascii="Arial" w:eastAsia="宋体" w:hAnsi="Arial" w:cs="Arial"/>
                      <w:b/>
                      <w:bCs/>
                      <w:color w:val="185895"/>
                      <w:kern w:val="0"/>
                      <w:sz w:val="36"/>
                      <w:szCs w:val="36"/>
                    </w:rPr>
                    <w:br/>
                  </w:r>
                  <w:r w:rsidRPr="00A92B88">
                    <w:rPr>
                      <w:rFonts w:ascii="Arial" w:eastAsia="宋体" w:hAnsi="Arial" w:cs="Arial"/>
                      <w:b/>
                      <w:bCs/>
                      <w:color w:val="185895"/>
                      <w:kern w:val="0"/>
                      <w:sz w:val="36"/>
                      <w:szCs w:val="36"/>
                    </w:rPr>
                    <w:t>中科院热物所：让</w:t>
                  </w:r>
                  <w:r w:rsidRPr="00A92B88">
                    <w:rPr>
                      <w:rFonts w:ascii="Arial" w:eastAsia="宋体" w:hAnsi="Arial" w:cs="Arial"/>
                      <w:b/>
                      <w:bCs/>
                      <w:color w:val="185895"/>
                      <w:kern w:val="0"/>
                      <w:sz w:val="36"/>
                      <w:szCs w:val="36"/>
                    </w:rPr>
                    <w:t>“</w:t>
                  </w:r>
                  <w:r w:rsidRPr="00A92B88">
                    <w:rPr>
                      <w:rFonts w:ascii="Arial" w:eastAsia="宋体" w:hAnsi="Arial" w:cs="Arial"/>
                      <w:b/>
                      <w:bCs/>
                      <w:color w:val="185895"/>
                      <w:kern w:val="0"/>
                      <w:sz w:val="36"/>
                      <w:szCs w:val="36"/>
                    </w:rPr>
                    <w:t>分散化</w:t>
                  </w:r>
                  <w:r w:rsidRPr="00A92B88">
                    <w:rPr>
                      <w:rFonts w:ascii="Arial" w:eastAsia="宋体" w:hAnsi="Arial" w:cs="Arial"/>
                      <w:b/>
                      <w:bCs/>
                      <w:color w:val="185895"/>
                      <w:kern w:val="0"/>
                      <w:sz w:val="36"/>
                      <w:szCs w:val="36"/>
                    </w:rPr>
                    <w:t>”</w:t>
                  </w:r>
                  <w:r w:rsidRPr="00A92B88">
                    <w:rPr>
                      <w:rFonts w:ascii="Arial" w:eastAsia="宋体" w:hAnsi="Arial" w:cs="Arial"/>
                      <w:b/>
                      <w:bCs/>
                      <w:color w:val="185895"/>
                      <w:kern w:val="0"/>
                      <w:sz w:val="36"/>
                      <w:szCs w:val="36"/>
                    </w:rPr>
                    <w:t>的经费相关人员逐步走向</w:t>
                  </w:r>
                  <w:r w:rsidRPr="00A92B88">
                    <w:rPr>
                      <w:rFonts w:ascii="Arial" w:eastAsia="宋体" w:hAnsi="Arial" w:cs="Arial"/>
                      <w:b/>
                      <w:bCs/>
                      <w:color w:val="185895"/>
                      <w:kern w:val="0"/>
                      <w:sz w:val="36"/>
                      <w:szCs w:val="36"/>
                    </w:rPr>
                    <w:t>“</w:t>
                  </w:r>
                  <w:r w:rsidRPr="00A92B88">
                    <w:rPr>
                      <w:rFonts w:ascii="Arial" w:eastAsia="宋体" w:hAnsi="Arial" w:cs="Arial"/>
                      <w:b/>
                      <w:bCs/>
                      <w:color w:val="185895"/>
                      <w:kern w:val="0"/>
                      <w:sz w:val="36"/>
                      <w:szCs w:val="36"/>
                    </w:rPr>
                    <w:t>集约</w:t>
                  </w:r>
                  <w:r w:rsidRPr="00A92B88">
                    <w:rPr>
                      <w:rFonts w:ascii="Arial" w:eastAsia="宋体" w:hAnsi="Arial" w:cs="Arial"/>
                      <w:b/>
                      <w:bCs/>
                      <w:color w:val="185895"/>
                      <w:kern w:val="0"/>
                      <w:sz w:val="36"/>
                      <w:szCs w:val="36"/>
                    </w:rPr>
                    <w:t xml:space="preserve">” </w:t>
                  </w:r>
                </w:p>
              </w:tc>
            </w:tr>
          </w:tbl>
          <w:p w:rsidR="00A92B88" w:rsidRPr="00A92B88" w:rsidRDefault="00A92B88" w:rsidP="00A92B8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92B88" w:rsidRPr="00A92B88">
              <w:trPr>
                <w:trHeight w:val="10"/>
                <w:tblCellSpacing w:w="0" w:type="dxa"/>
              </w:trPr>
              <w:tc>
                <w:tcPr>
                  <w:tcW w:w="0" w:type="auto"/>
                  <w:vAlign w:val="center"/>
                  <w:hideMark/>
                </w:tcPr>
                <w:p w:rsidR="00A92B88" w:rsidRPr="00A92B88" w:rsidRDefault="00A92B88" w:rsidP="00A92B88">
                  <w:pPr>
                    <w:widowControl/>
                    <w:spacing w:line="10" w:lineRule="atLeast"/>
                    <w:jc w:val="left"/>
                    <w:rPr>
                      <w:rFonts w:ascii="Arial" w:eastAsia="宋体" w:hAnsi="Arial" w:cs="Arial"/>
                      <w:kern w:val="0"/>
                      <w:sz w:val="18"/>
                      <w:szCs w:val="18"/>
                    </w:rPr>
                  </w:pPr>
                  <w:r w:rsidRPr="00A92B88">
                    <w:rPr>
                      <w:rFonts w:ascii="Arial" w:eastAsia="宋体" w:hAnsi="Arial" w:cs="Arial"/>
                      <w:kern w:val="0"/>
                      <w:sz w:val="18"/>
                      <w:szCs w:val="18"/>
                    </w:rPr>
                    <w:pict>
                      <v:rect id="_x0000_i1025" style="width:525pt;height:.75pt" o:hrpct="0" o:hralign="center" o:hrstd="t" o:hrnoshade="t" o:hr="t" fillcolor="#99c2e2" stroked="f"/>
                    </w:pict>
                  </w:r>
                </w:p>
              </w:tc>
            </w:tr>
          </w:tbl>
          <w:p w:rsidR="00A92B88" w:rsidRPr="00A92B88" w:rsidRDefault="00A92B88" w:rsidP="00A92B88">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92B88" w:rsidRPr="00A92B88">
              <w:trPr>
                <w:tblCellSpacing w:w="0" w:type="dxa"/>
              </w:trPr>
              <w:tc>
                <w:tcPr>
                  <w:tcW w:w="0" w:type="auto"/>
                  <w:vAlign w:val="center"/>
                  <w:hideMark/>
                </w:tcPr>
                <w:p w:rsidR="00A92B88" w:rsidRPr="00A92B88" w:rsidRDefault="00A92B88" w:rsidP="00A92B88">
                  <w:pPr>
                    <w:widowControl/>
                    <w:spacing w:line="432" w:lineRule="auto"/>
                    <w:jc w:val="left"/>
                    <w:rPr>
                      <w:rFonts w:ascii="Arial" w:eastAsia="宋体" w:hAnsi="Arial" w:cs="Arial"/>
                      <w:kern w:val="0"/>
                      <w:sz w:val="24"/>
                      <w:szCs w:val="24"/>
                    </w:rPr>
                  </w:pPr>
                </w:p>
              </w:tc>
            </w:tr>
          </w:tbl>
          <w:p w:rsidR="00A92B88" w:rsidRPr="00A92B88" w:rsidRDefault="00A92B88" w:rsidP="00A92B88">
            <w:pPr>
              <w:widowControl/>
              <w:spacing w:line="432" w:lineRule="auto"/>
              <w:jc w:val="left"/>
              <w:rPr>
                <w:rFonts w:ascii="Arial" w:eastAsia="宋体" w:hAnsi="Arial" w:cs="Arial"/>
                <w:kern w:val="0"/>
                <w:sz w:val="18"/>
                <w:szCs w:val="18"/>
              </w:rPr>
            </w:pPr>
          </w:p>
        </w:tc>
      </w:tr>
      <w:tr w:rsidR="00A92B88" w:rsidRPr="00A92B88">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92B88" w:rsidRPr="00A92B88">
              <w:trPr>
                <w:trHeight w:val="76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A92B88" w:rsidRPr="00A92B88">
                    <w:trPr>
                      <w:tblCellSpacing w:w="0" w:type="dxa"/>
                      <w:jc w:val="center"/>
                    </w:trPr>
                    <w:tc>
                      <w:tcPr>
                        <w:tcW w:w="0" w:type="auto"/>
                        <w:vAlign w:val="center"/>
                        <w:hideMark/>
                      </w:tcPr>
                      <w:p w:rsidR="00A92B88" w:rsidRPr="00A92B88" w:rsidRDefault="00A92B88" w:rsidP="00A92B88">
                        <w:pPr>
                          <w:widowControl/>
                          <w:spacing w:line="480" w:lineRule="auto"/>
                          <w:jc w:val="left"/>
                          <w:rPr>
                            <w:rFonts w:ascii="宋体" w:eastAsia="宋体" w:hAnsi="宋体" w:cs="Arial"/>
                            <w:kern w:val="0"/>
                            <w:sz w:val="24"/>
                            <w:szCs w:val="24"/>
                          </w:rPr>
                        </w:pPr>
                        <w:r w:rsidRPr="00A92B88">
                          <w:rPr>
                            <w:rFonts w:ascii="宋体" w:eastAsia="宋体" w:hAnsi="宋体" w:cs="Arial" w:hint="eastAsia"/>
                            <w:kern w:val="0"/>
                            <w:sz w:val="24"/>
                            <w:szCs w:val="24"/>
                          </w:rPr>
                          <w:t xml:space="preserve">《若干意见》要求，各单位应建立科研财务助理制度，同时明确了科研财务助理的人员费可从劳务费中报销。今天，我们重点中国科学院工程热物理研究所建立科研财务助理制度有关情况。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我们想先来听听几个新上岗的“科助”们的心声。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轻型动力实验室尹老师: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w:t>
                        </w:r>
                        <w:proofErr w:type="gramStart"/>
                        <w:r w:rsidRPr="00A92B88">
                          <w:rPr>
                            <w:rFonts w:ascii="宋体" w:eastAsia="宋体" w:hAnsi="宋体" w:cs="Arial" w:hint="eastAsia"/>
                            <w:kern w:val="0"/>
                            <w:sz w:val="24"/>
                            <w:szCs w:val="24"/>
                          </w:rPr>
                          <w:t>“</w:t>
                        </w:r>
                        <w:proofErr w:type="gramEnd"/>
                        <w:r w:rsidRPr="00A92B88">
                          <w:rPr>
                            <w:rFonts w:ascii="宋体" w:eastAsia="宋体" w:hAnsi="宋体" w:cs="Arial" w:hint="eastAsia"/>
                            <w:kern w:val="0"/>
                            <w:sz w:val="24"/>
                            <w:szCs w:val="24"/>
                          </w:rPr>
                          <w:t xml:space="preserve">科研经费是科学研究不可或缺的物质保障，科研时间对科研人员则是“寸时寸金”。当科研人员为科研经费报销的繁琐手续、填写报表的不知所措而“挠头”时，《若干意见》应运而生。不同的科研经费有不同的标准和管理办法，根据项目来源进行分类，不管如何分类，所做的工作都是统一的：在项目前期参与预算编制，在项目执行中主导预算调整、统筹经费支出，在项目结题时牵头结题审计，这些早已成为常态化工作。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一路走来，我深深感到经费管理的过程是所有与项目经费相关的人共同学习共同成长的过程。让“分散化”的经费相关人员逐步走向“集约”，不仅能减化管理流程、及时解决经费支出的问题、保障预算执行率，还能把钱花在刀刃上，确保项目顺利进行。而科研财务助理就是其中抓总的人。”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国家能源风电叶片研发（实验）中心</w:t>
                        </w:r>
                        <w:proofErr w:type="gramStart"/>
                        <w:r w:rsidRPr="00A92B88">
                          <w:rPr>
                            <w:rFonts w:ascii="宋体" w:eastAsia="宋体" w:hAnsi="宋体" w:cs="Arial" w:hint="eastAsia"/>
                            <w:kern w:val="0"/>
                            <w:sz w:val="24"/>
                            <w:szCs w:val="24"/>
                          </w:rPr>
                          <w:t>雒</w:t>
                        </w:r>
                        <w:proofErr w:type="gramEnd"/>
                        <w:r w:rsidRPr="00A92B88">
                          <w:rPr>
                            <w:rFonts w:ascii="宋体" w:eastAsia="宋体" w:hAnsi="宋体" w:cs="Arial" w:hint="eastAsia"/>
                            <w:kern w:val="0"/>
                            <w:sz w:val="24"/>
                            <w:szCs w:val="24"/>
                          </w:rPr>
                          <w:t xml:space="preserve">老师: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lastRenderedPageBreak/>
                          <w:t xml:space="preserve">　　</w:t>
                        </w:r>
                        <w:proofErr w:type="gramStart"/>
                        <w:r w:rsidRPr="00A92B88">
                          <w:rPr>
                            <w:rFonts w:ascii="宋体" w:eastAsia="宋体" w:hAnsi="宋体" w:cs="Arial" w:hint="eastAsia"/>
                            <w:kern w:val="0"/>
                            <w:sz w:val="24"/>
                            <w:szCs w:val="24"/>
                          </w:rPr>
                          <w:t>“</w:t>
                        </w:r>
                        <w:proofErr w:type="gramEnd"/>
                        <w:r w:rsidRPr="00A92B88">
                          <w:rPr>
                            <w:rFonts w:ascii="宋体" w:eastAsia="宋体" w:hAnsi="宋体" w:cs="Arial" w:hint="eastAsia"/>
                            <w:kern w:val="0"/>
                            <w:sz w:val="24"/>
                            <w:szCs w:val="24"/>
                          </w:rPr>
                          <w:t xml:space="preserve">随着科研项目管理日趋规范化，科研财务助理应运而生，自己也很荣幸地成为研究所第一批成员之一。参加工作之初，因团队的工作需要，自己与财务工作打上了交道，我也由一名业余财务人成长为半专业财务人员。如今，科研财务助理需要“在项目预算编制和调剂、经费支出、财务决算和验收等方面提供专业化服务”，为此我必须在财务工作方面掌握更加全面、系统的知识，肩负起科研财务助理的重任。”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作为贯彻落实《若干意见》的重要举措，中科院工程热物理研究所于近期建立了科研财务助理管理制度，宗旨是完善科研项目经费管理、创新服务形式，为科研人员在科研项目预算编制和调剂、经费支出、财务决算和验收等方面提供专业化的服务，让科研人员能够潜心科研。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研究所财务处组织对首批实验室科研财务助理进行了考试测评，测评结果经所长办公会审议后，科研财务助理们将正式持证上岗。研究所首批8名科研财务助理拟聘名单经各科研单元自主提名，由财务处、科技处及人教处联合评议确定，上岗前均参加了财务处组织的专场培训。 </w:t>
                        </w:r>
                      </w:p>
                      <w:p w:rsidR="00A92B88" w:rsidRPr="00A92B88" w:rsidRDefault="00A92B88" w:rsidP="00A92B88">
                        <w:pPr>
                          <w:widowControl/>
                          <w:spacing w:line="480" w:lineRule="auto"/>
                          <w:jc w:val="left"/>
                          <w:rPr>
                            <w:rFonts w:ascii="宋体" w:eastAsia="宋体" w:hAnsi="宋体" w:cs="Arial" w:hint="eastAsia"/>
                            <w:kern w:val="0"/>
                            <w:sz w:val="24"/>
                            <w:szCs w:val="24"/>
                          </w:rPr>
                        </w:pPr>
                        <w:r w:rsidRPr="00A92B88">
                          <w:rPr>
                            <w:rFonts w:ascii="宋体" w:eastAsia="宋体" w:hAnsi="宋体" w:cs="Arial" w:hint="eastAsia"/>
                            <w:kern w:val="0"/>
                            <w:sz w:val="24"/>
                            <w:szCs w:val="24"/>
                          </w:rPr>
                          <w:t xml:space="preserve">　　首批科研财务助理上岗后，财务处将定期组织培训，为他们讲解财经政策、科研项目经费管理、财务报销相关制度等方面知识，“让专业的人做专业的事”，不断提高科研财务助理在财务方面的业务能力；同时，研究所将依据《工程热物理研究所科研财务助理岗位管理办法（暂行）》对科研财务助理的工作进行考核及奖惩。</w:t>
                        </w:r>
                        <w:r w:rsidRPr="00A92B88">
                          <w:rPr>
                            <w:rFonts w:ascii="宋体" w:eastAsia="宋体" w:hAnsi="宋体" w:cs="Arial" w:hint="eastAsia"/>
                            <w:kern w:val="0"/>
                            <w:sz w:val="24"/>
                            <w:szCs w:val="24"/>
                          </w:rPr>
                          <w:lastRenderedPageBreak/>
                          <w:t xml:space="preserve">将能力与奖惩挂钩，对科研财务助理而言可谓责任与发展并存，希望大家在科研财务助理岗位上有所建树，成为科研项目管理中的良才。 </w:t>
                        </w:r>
                      </w:p>
                      <w:p w:rsidR="00A92B88" w:rsidRPr="00A92B88" w:rsidRDefault="00A92B88" w:rsidP="00A92B88">
                        <w:pPr>
                          <w:widowControl/>
                          <w:spacing w:line="480" w:lineRule="auto"/>
                          <w:jc w:val="left"/>
                          <w:rPr>
                            <w:rFonts w:ascii="宋体" w:eastAsia="宋体" w:hAnsi="宋体" w:cs="Arial"/>
                            <w:kern w:val="0"/>
                            <w:sz w:val="24"/>
                            <w:szCs w:val="24"/>
                          </w:rPr>
                        </w:pPr>
                        <w:r w:rsidRPr="00A92B88">
                          <w:rPr>
                            <w:rFonts w:ascii="宋体" w:eastAsia="宋体" w:hAnsi="宋体" w:cs="Arial" w:hint="eastAsia"/>
                            <w:kern w:val="0"/>
                            <w:sz w:val="24"/>
                            <w:szCs w:val="24"/>
                          </w:rPr>
                          <w:t xml:space="preserve">　　科研财务助理制度的建立旨在解决科研人员反映的“痛点”、科研经费管理中的“难点”以及政策执行中的“堵点”问题。该制度的建立健全顺应了科研组织模式改革创新，将深化科研经费管理改革、保障创新工程顺利实施，是研究所财务管理的有效延伸，将极大程度上提高团队经费管理专业化效能，提高团队全面预算管理水平，增强了团队财务内控效力，为科研人员潜心科研营造良好环境。科研财务助理今后将为科研人员提供相对专业的财务服务，切实为科研人员</w:t>
                        </w:r>
                        <w:proofErr w:type="gramStart"/>
                        <w:r w:rsidRPr="00A92B88">
                          <w:rPr>
                            <w:rFonts w:ascii="宋体" w:eastAsia="宋体" w:hAnsi="宋体" w:cs="Arial" w:hint="eastAsia"/>
                            <w:kern w:val="0"/>
                            <w:sz w:val="24"/>
                            <w:szCs w:val="24"/>
                          </w:rPr>
                          <w:t>简除烦苛</w:t>
                        </w:r>
                        <w:proofErr w:type="gramEnd"/>
                        <w:r w:rsidRPr="00A92B88">
                          <w:rPr>
                            <w:rFonts w:ascii="宋体" w:eastAsia="宋体" w:hAnsi="宋体" w:cs="Arial" w:hint="eastAsia"/>
                            <w:kern w:val="0"/>
                            <w:sz w:val="24"/>
                            <w:szCs w:val="24"/>
                          </w:rPr>
                          <w:t>、松绑减负，营造良好科研环境；同时他们也将在实验室发挥政策宣传和沟通纽带的作用，促进研究所科研人员与财务人员的相互理解、协同工作，更好地为研究所发展做出贡献。（转载于</w:t>
                        </w:r>
                        <w:proofErr w:type="gramStart"/>
                        <w:r w:rsidRPr="00A92B88">
                          <w:rPr>
                            <w:rFonts w:ascii="宋体" w:eastAsia="宋体" w:hAnsi="宋体" w:cs="Arial" w:hint="eastAsia"/>
                            <w:kern w:val="0"/>
                            <w:sz w:val="24"/>
                            <w:szCs w:val="24"/>
                          </w:rPr>
                          <w:t>锐动源</w:t>
                        </w:r>
                        <w:proofErr w:type="gramEnd"/>
                        <w:r w:rsidRPr="00A92B88">
                          <w:rPr>
                            <w:rFonts w:ascii="宋体" w:eastAsia="宋体" w:hAnsi="宋体" w:cs="Arial" w:hint="eastAsia"/>
                            <w:kern w:val="0"/>
                            <w:sz w:val="24"/>
                            <w:szCs w:val="24"/>
                          </w:rPr>
                          <w:t xml:space="preserve">） </w:t>
                        </w:r>
                      </w:p>
                    </w:tc>
                  </w:tr>
                </w:tbl>
                <w:p w:rsidR="00A92B88" w:rsidRPr="00A92B88" w:rsidRDefault="00A92B88" w:rsidP="00A92B88">
                  <w:pPr>
                    <w:widowControl/>
                    <w:spacing w:line="432" w:lineRule="auto"/>
                    <w:jc w:val="center"/>
                    <w:rPr>
                      <w:rFonts w:ascii="Arial" w:eastAsia="宋体" w:hAnsi="Arial" w:cs="Arial"/>
                      <w:kern w:val="0"/>
                      <w:sz w:val="18"/>
                      <w:szCs w:val="18"/>
                    </w:rPr>
                  </w:pPr>
                </w:p>
              </w:tc>
            </w:tr>
          </w:tbl>
          <w:p w:rsidR="00A92B88" w:rsidRPr="00A92B88" w:rsidRDefault="00A92B88" w:rsidP="00A92B88">
            <w:pPr>
              <w:widowControl/>
              <w:spacing w:line="432" w:lineRule="auto"/>
              <w:jc w:val="left"/>
              <w:rPr>
                <w:rFonts w:ascii="Arial" w:eastAsia="宋体" w:hAnsi="Arial" w:cs="Arial"/>
                <w:kern w:val="0"/>
                <w:sz w:val="18"/>
                <w:szCs w:val="18"/>
              </w:rPr>
            </w:pPr>
          </w:p>
        </w:tc>
      </w:tr>
    </w:tbl>
    <w:p w:rsidR="00CC3543" w:rsidRDefault="00A92B88">
      <w:bookmarkStart w:id="0" w:name="_GoBack"/>
      <w:bookmarkEnd w:id="0"/>
    </w:p>
    <w:sectPr w:rsidR="00CC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64"/>
    <w:rsid w:val="000000F5"/>
    <w:rsid w:val="00004DAB"/>
    <w:rsid w:val="00052FE2"/>
    <w:rsid w:val="00066469"/>
    <w:rsid w:val="000761BF"/>
    <w:rsid w:val="00085AB0"/>
    <w:rsid w:val="000A41CF"/>
    <w:rsid w:val="000D289F"/>
    <w:rsid w:val="000E3C82"/>
    <w:rsid w:val="001142B8"/>
    <w:rsid w:val="00125658"/>
    <w:rsid w:val="00130216"/>
    <w:rsid w:val="001708CD"/>
    <w:rsid w:val="00173536"/>
    <w:rsid w:val="001B6DD4"/>
    <w:rsid w:val="001E0AD2"/>
    <w:rsid w:val="001E1FD6"/>
    <w:rsid w:val="0021080D"/>
    <w:rsid w:val="00215603"/>
    <w:rsid w:val="002318EA"/>
    <w:rsid w:val="0025009E"/>
    <w:rsid w:val="00262BD1"/>
    <w:rsid w:val="0026716A"/>
    <w:rsid w:val="00270256"/>
    <w:rsid w:val="00283204"/>
    <w:rsid w:val="002867B8"/>
    <w:rsid w:val="002B7105"/>
    <w:rsid w:val="002D3080"/>
    <w:rsid w:val="002E743D"/>
    <w:rsid w:val="002E7B12"/>
    <w:rsid w:val="002F278E"/>
    <w:rsid w:val="002F47A8"/>
    <w:rsid w:val="00320EBC"/>
    <w:rsid w:val="00321954"/>
    <w:rsid w:val="00323D7D"/>
    <w:rsid w:val="003249C3"/>
    <w:rsid w:val="00342276"/>
    <w:rsid w:val="00346E6B"/>
    <w:rsid w:val="0035382B"/>
    <w:rsid w:val="00372463"/>
    <w:rsid w:val="003B7864"/>
    <w:rsid w:val="003E2770"/>
    <w:rsid w:val="003F041E"/>
    <w:rsid w:val="003F12CC"/>
    <w:rsid w:val="00400F76"/>
    <w:rsid w:val="0045348D"/>
    <w:rsid w:val="0045501E"/>
    <w:rsid w:val="00472F39"/>
    <w:rsid w:val="004770B2"/>
    <w:rsid w:val="004857BE"/>
    <w:rsid w:val="00485BA2"/>
    <w:rsid w:val="004A7521"/>
    <w:rsid w:val="004D1D6D"/>
    <w:rsid w:val="004E1626"/>
    <w:rsid w:val="005029A3"/>
    <w:rsid w:val="0050435F"/>
    <w:rsid w:val="00505F07"/>
    <w:rsid w:val="00524759"/>
    <w:rsid w:val="00527FC7"/>
    <w:rsid w:val="00546B7E"/>
    <w:rsid w:val="00561043"/>
    <w:rsid w:val="00567D33"/>
    <w:rsid w:val="00584733"/>
    <w:rsid w:val="00585180"/>
    <w:rsid w:val="005A4783"/>
    <w:rsid w:val="005B51E3"/>
    <w:rsid w:val="005D0A5E"/>
    <w:rsid w:val="00616352"/>
    <w:rsid w:val="00616559"/>
    <w:rsid w:val="00620F5F"/>
    <w:rsid w:val="00625BF1"/>
    <w:rsid w:val="00626301"/>
    <w:rsid w:val="006662C1"/>
    <w:rsid w:val="006810D7"/>
    <w:rsid w:val="00685CB4"/>
    <w:rsid w:val="00693CB7"/>
    <w:rsid w:val="006A4F60"/>
    <w:rsid w:val="006D64B2"/>
    <w:rsid w:val="006E0C05"/>
    <w:rsid w:val="006E0DC0"/>
    <w:rsid w:val="007055E1"/>
    <w:rsid w:val="0076146B"/>
    <w:rsid w:val="00771387"/>
    <w:rsid w:val="007751E6"/>
    <w:rsid w:val="00785164"/>
    <w:rsid w:val="007A062B"/>
    <w:rsid w:val="007A18B0"/>
    <w:rsid w:val="007C1BC3"/>
    <w:rsid w:val="007C2D52"/>
    <w:rsid w:val="00800499"/>
    <w:rsid w:val="008157A7"/>
    <w:rsid w:val="008431D0"/>
    <w:rsid w:val="00852F29"/>
    <w:rsid w:val="00853E31"/>
    <w:rsid w:val="0085769E"/>
    <w:rsid w:val="00865622"/>
    <w:rsid w:val="008827EF"/>
    <w:rsid w:val="008B1AE8"/>
    <w:rsid w:val="008B426B"/>
    <w:rsid w:val="008B7759"/>
    <w:rsid w:val="008D0C8A"/>
    <w:rsid w:val="008E57FB"/>
    <w:rsid w:val="008E7BED"/>
    <w:rsid w:val="00937391"/>
    <w:rsid w:val="00952495"/>
    <w:rsid w:val="00980A9B"/>
    <w:rsid w:val="00996CA2"/>
    <w:rsid w:val="009A32D8"/>
    <w:rsid w:val="009A3789"/>
    <w:rsid w:val="009B2915"/>
    <w:rsid w:val="00A211D9"/>
    <w:rsid w:val="00A30416"/>
    <w:rsid w:val="00A73569"/>
    <w:rsid w:val="00A92B88"/>
    <w:rsid w:val="00A9501F"/>
    <w:rsid w:val="00AA4978"/>
    <w:rsid w:val="00AB5FAC"/>
    <w:rsid w:val="00B1408E"/>
    <w:rsid w:val="00B154B2"/>
    <w:rsid w:val="00B2496C"/>
    <w:rsid w:val="00B26D28"/>
    <w:rsid w:val="00B3077C"/>
    <w:rsid w:val="00B55E5F"/>
    <w:rsid w:val="00B674ED"/>
    <w:rsid w:val="00B73BBF"/>
    <w:rsid w:val="00B97982"/>
    <w:rsid w:val="00BB5655"/>
    <w:rsid w:val="00BC7117"/>
    <w:rsid w:val="00BE4833"/>
    <w:rsid w:val="00C00FE5"/>
    <w:rsid w:val="00C24592"/>
    <w:rsid w:val="00C25D54"/>
    <w:rsid w:val="00C341AA"/>
    <w:rsid w:val="00C478F8"/>
    <w:rsid w:val="00C545CA"/>
    <w:rsid w:val="00C61B52"/>
    <w:rsid w:val="00C63F2B"/>
    <w:rsid w:val="00C92FC7"/>
    <w:rsid w:val="00C933AE"/>
    <w:rsid w:val="00CD1390"/>
    <w:rsid w:val="00CD2A8A"/>
    <w:rsid w:val="00D07CD4"/>
    <w:rsid w:val="00D173CE"/>
    <w:rsid w:val="00D27021"/>
    <w:rsid w:val="00D43780"/>
    <w:rsid w:val="00D477A0"/>
    <w:rsid w:val="00D552FD"/>
    <w:rsid w:val="00D90846"/>
    <w:rsid w:val="00DA1E64"/>
    <w:rsid w:val="00DD7730"/>
    <w:rsid w:val="00E0187D"/>
    <w:rsid w:val="00E057C9"/>
    <w:rsid w:val="00E1026C"/>
    <w:rsid w:val="00E140D5"/>
    <w:rsid w:val="00E16A57"/>
    <w:rsid w:val="00E17044"/>
    <w:rsid w:val="00E315FF"/>
    <w:rsid w:val="00E32535"/>
    <w:rsid w:val="00E416FA"/>
    <w:rsid w:val="00E65543"/>
    <w:rsid w:val="00E8206A"/>
    <w:rsid w:val="00E82768"/>
    <w:rsid w:val="00E97BDD"/>
    <w:rsid w:val="00EB2746"/>
    <w:rsid w:val="00EB2E5A"/>
    <w:rsid w:val="00EC66A9"/>
    <w:rsid w:val="00ED6836"/>
    <w:rsid w:val="00ED6A05"/>
    <w:rsid w:val="00EE1429"/>
    <w:rsid w:val="00EF1E1A"/>
    <w:rsid w:val="00EF7C0C"/>
    <w:rsid w:val="00F05EDA"/>
    <w:rsid w:val="00F0774A"/>
    <w:rsid w:val="00F21EC4"/>
    <w:rsid w:val="00F22973"/>
    <w:rsid w:val="00F315F2"/>
    <w:rsid w:val="00F91108"/>
    <w:rsid w:val="00F91B23"/>
    <w:rsid w:val="00F92C3B"/>
    <w:rsid w:val="00FA7117"/>
    <w:rsid w:val="00FD5029"/>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48221">
      <w:bodyDiv w:val="1"/>
      <w:marLeft w:val="0"/>
      <w:marRight w:val="0"/>
      <w:marTop w:val="0"/>
      <w:marBottom w:val="0"/>
      <w:divBdr>
        <w:top w:val="none" w:sz="0" w:space="0" w:color="auto"/>
        <w:left w:val="none" w:sz="0" w:space="0" w:color="auto"/>
        <w:bottom w:val="none" w:sz="0" w:space="0" w:color="auto"/>
        <w:right w:val="none" w:sz="0" w:space="0" w:color="auto"/>
      </w:divBdr>
      <w:divsChild>
        <w:div w:id="1107232354">
          <w:marLeft w:val="0"/>
          <w:marRight w:val="0"/>
          <w:marTop w:val="0"/>
          <w:marBottom w:val="0"/>
          <w:divBdr>
            <w:top w:val="none" w:sz="0" w:space="0" w:color="auto"/>
            <w:left w:val="none" w:sz="0" w:space="0" w:color="auto"/>
            <w:bottom w:val="none" w:sz="0" w:space="0" w:color="auto"/>
            <w:right w:val="none" w:sz="0" w:space="0" w:color="auto"/>
          </w:divBdr>
          <w:divsChild>
            <w:div w:id="20839436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1261</Characters>
  <Application>Microsoft Office Word</Application>
  <DocSecurity>0</DocSecurity>
  <Lines>10</Lines>
  <Paragraphs>2</Paragraphs>
  <ScaleCrop>false</ScaleCrop>
  <Company>Microsoft</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cp:revision>
  <dcterms:created xsi:type="dcterms:W3CDTF">2017-04-13T03:14:00Z</dcterms:created>
  <dcterms:modified xsi:type="dcterms:W3CDTF">2017-04-13T03:14:00Z</dcterms:modified>
</cp:coreProperties>
</file>